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037D" w:rsidRPr="0014037D" w:rsidRDefault="0014037D" w:rsidP="0014037D">
      <w:pPr>
        <w:shd w:val="clear" w:color="auto" w:fill="FFFFFF"/>
        <w:spacing w:after="0" w:line="240" w:lineRule="auto"/>
        <w:rPr>
          <w:rFonts w:ascii="Arial" w:eastAsia="Times New Roman" w:hAnsi="Arial" w:cs="Arial"/>
          <w:color w:val="222222"/>
          <w:sz w:val="24"/>
          <w:szCs w:val="24"/>
          <w:lang w:eastAsia="es-CO"/>
        </w:rPr>
      </w:pPr>
      <w:r w:rsidRPr="0014037D">
        <w:rPr>
          <w:rFonts w:ascii="Arial" w:eastAsia="Times New Roman" w:hAnsi="Arial" w:cs="Arial"/>
          <w:color w:val="000000"/>
          <w:sz w:val="24"/>
          <w:szCs w:val="24"/>
          <w:lang w:eastAsia="es-CO"/>
        </w:rPr>
        <w:t> </w:t>
      </w:r>
      <w:r w:rsidRPr="0014037D">
        <w:rPr>
          <w:rFonts w:ascii="Arial" w:eastAsia="Times New Roman" w:hAnsi="Arial" w:cs="Arial"/>
          <w:b/>
          <w:bCs/>
          <w:color w:val="000000"/>
          <w:sz w:val="24"/>
          <w:szCs w:val="24"/>
          <w:lang w:eastAsia="es-CO"/>
        </w:rPr>
        <w:t>Indicador de eficiencia:</w:t>
      </w:r>
    </w:p>
    <w:p w:rsidR="0014037D" w:rsidRPr="0014037D" w:rsidRDefault="0014037D" w:rsidP="0014037D">
      <w:pPr>
        <w:shd w:val="clear" w:color="auto" w:fill="FFFFFF"/>
        <w:spacing w:after="0" w:line="240" w:lineRule="auto"/>
        <w:rPr>
          <w:rFonts w:ascii="Arial" w:eastAsia="Times New Roman" w:hAnsi="Arial" w:cs="Arial"/>
          <w:color w:val="222222"/>
          <w:sz w:val="24"/>
          <w:szCs w:val="24"/>
          <w:lang w:eastAsia="es-CO"/>
        </w:rPr>
      </w:pPr>
    </w:p>
    <w:tbl>
      <w:tblPr>
        <w:tblW w:w="11620" w:type="dxa"/>
        <w:shd w:val="clear" w:color="auto" w:fill="FFFFFF"/>
        <w:tblCellMar>
          <w:left w:w="0" w:type="dxa"/>
          <w:right w:w="0" w:type="dxa"/>
        </w:tblCellMar>
        <w:tblLook w:val="04A0" w:firstRow="1" w:lastRow="0" w:firstColumn="1" w:lastColumn="0" w:noHBand="0" w:noVBand="1"/>
      </w:tblPr>
      <w:tblGrid>
        <w:gridCol w:w="1200"/>
        <w:gridCol w:w="9138"/>
        <w:gridCol w:w="1282"/>
      </w:tblGrid>
      <w:tr w:rsidR="0014037D" w:rsidRPr="0014037D" w:rsidTr="004F5727">
        <w:trPr>
          <w:trHeight w:val="315"/>
        </w:trPr>
        <w:tc>
          <w:tcPr>
            <w:tcW w:w="1200" w:type="dxa"/>
            <w:tcBorders>
              <w:top w:val="single" w:sz="8" w:space="0" w:color="BFBFBF"/>
              <w:left w:val="single" w:sz="8" w:space="0" w:color="BFBFBF"/>
              <w:bottom w:val="single" w:sz="8" w:space="0" w:color="BFBFBF"/>
              <w:right w:val="single" w:sz="8" w:space="0" w:color="BFBFBF"/>
            </w:tcBorders>
            <w:shd w:val="clear" w:color="auto" w:fill="0070C0"/>
            <w:tcMar>
              <w:top w:w="15" w:type="dxa"/>
              <w:left w:w="15" w:type="dxa"/>
              <w:bottom w:w="0" w:type="dxa"/>
              <w:right w:w="15" w:type="dxa"/>
            </w:tcMar>
            <w:vAlign w:val="center"/>
            <w:hideMark/>
          </w:tcPr>
          <w:p w:rsidR="0014037D" w:rsidRPr="0014037D" w:rsidRDefault="0014037D" w:rsidP="0014037D">
            <w:pPr>
              <w:spacing w:after="0" w:line="240" w:lineRule="auto"/>
              <w:jc w:val="center"/>
              <w:rPr>
                <w:rFonts w:ascii="Helvetica" w:eastAsia="Times New Roman" w:hAnsi="Helvetica" w:cs="Helvetica"/>
                <w:b/>
                <w:bCs/>
                <w:color w:val="FFFFFF"/>
                <w:sz w:val="24"/>
                <w:szCs w:val="24"/>
                <w:lang w:eastAsia="es-CO"/>
              </w:rPr>
            </w:pPr>
            <w:r w:rsidRPr="0014037D">
              <w:rPr>
                <w:rFonts w:ascii="Arial" w:eastAsia="Times New Roman" w:hAnsi="Arial" w:cs="Arial"/>
                <w:b/>
                <w:bCs/>
                <w:color w:val="FFFFFF"/>
                <w:sz w:val="24"/>
                <w:szCs w:val="24"/>
                <w:lang w:eastAsia="es-CO"/>
              </w:rPr>
              <w:t>Periodo</w:t>
            </w:r>
          </w:p>
        </w:tc>
        <w:tc>
          <w:tcPr>
            <w:tcW w:w="9138" w:type="dxa"/>
            <w:tcBorders>
              <w:top w:val="single" w:sz="8" w:space="0" w:color="BFBFBF"/>
              <w:left w:val="nil"/>
              <w:bottom w:val="single" w:sz="8" w:space="0" w:color="BFBFBF"/>
              <w:right w:val="single" w:sz="8" w:space="0" w:color="BFBFBF"/>
            </w:tcBorders>
            <w:shd w:val="clear" w:color="auto" w:fill="0070C0"/>
            <w:tcMar>
              <w:top w:w="15" w:type="dxa"/>
              <w:left w:w="15" w:type="dxa"/>
              <w:bottom w:w="0" w:type="dxa"/>
              <w:right w:w="15" w:type="dxa"/>
            </w:tcMar>
            <w:vAlign w:val="center"/>
            <w:hideMark/>
          </w:tcPr>
          <w:p w:rsidR="0014037D" w:rsidRPr="0014037D" w:rsidRDefault="0014037D" w:rsidP="0014037D">
            <w:pPr>
              <w:spacing w:after="0" w:line="240" w:lineRule="auto"/>
              <w:jc w:val="center"/>
              <w:rPr>
                <w:rFonts w:ascii="Helvetica" w:eastAsia="Times New Roman" w:hAnsi="Helvetica" w:cs="Helvetica"/>
                <w:b/>
                <w:bCs/>
                <w:color w:val="FFFFFF"/>
                <w:sz w:val="24"/>
                <w:szCs w:val="24"/>
                <w:lang w:eastAsia="es-CO"/>
              </w:rPr>
            </w:pPr>
            <w:r w:rsidRPr="0014037D">
              <w:rPr>
                <w:rFonts w:ascii="Arial" w:eastAsia="Times New Roman" w:hAnsi="Arial" w:cs="Arial"/>
                <w:b/>
                <w:bCs/>
                <w:color w:val="FFFFFF"/>
                <w:sz w:val="24"/>
                <w:szCs w:val="24"/>
                <w:lang w:eastAsia="es-CO"/>
              </w:rPr>
              <w:t>Análisis</w:t>
            </w:r>
          </w:p>
        </w:tc>
        <w:tc>
          <w:tcPr>
            <w:tcW w:w="1282" w:type="dxa"/>
            <w:tcBorders>
              <w:top w:val="single" w:sz="8" w:space="0" w:color="BFBFBF"/>
              <w:left w:val="nil"/>
              <w:bottom w:val="single" w:sz="8" w:space="0" w:color="BFBFBF"/>
              <w:right w:val="single" w:sz="8" w:space="0" w:color="BFBFBF"/>
            </w:tcBorders>
            <w:shd w:val="clear" w:color="auto" w:fill="0070C0"/>
            <w:tcMar>
              <w:top w:w="15" w:type="dxa"/>
              <w:left w:w="15" w:type="dxa"/>
              <w:bottom w:w="0" w:type="dxa"/>
              <w:right w:w="15" w:type="dxa"/>
            </w:tcMar>
            <w:vAlign w:val="center"/>
            <w:hideMark/>
          </w:tcPr>
          <w:p w:rsidR="0014037D" w:rsidRPr="0014037D" w:rsidRDefault="0014037D" w:rsidP="0014037D">
            <w:pPr>
              <w:spacing w:after="0" w:line="240" w:lineRule="auto"/>
              <w:jc w:val="center"/>
              <w:rPr>
                <w:rFonts w:ascii="Helvetica" w:eastAsia="Times New Roman" w:hAnsi="Helvetica" w:cs="Helvetica"/>
                <w:b/>
                <w:bCs/>
                <w:color w:val="FFFFFF"/>
                <w:sz w:val="24"/>
                <w:szCs w:val="24"/>
                <w:lang w:eastAsia="es-CO"/>
              </w:rPr>
            </w:pPr>
            <w:r w:rsidRPr="0014037D">
              <w:rPr>
                <w:rFonts w:ascii="Arial" w:eastAsia="Times New Roman" w:hAnsi="Arial" w:cs="Arial"/>
                <w:b/>
                <w:bCs/>
                <w:color w:val="FFFFFF"/>
                <w:sz w:val="24"/>
                <w:szCs w:val="24"/>
                <w:lang w:eastAsia="es-CO"/>
              </w:rPr>
              <w:t>Resultado</w:t>
            </w:r>
          </w:p>
        </w:tc>
      </w:tr>
      <w:tr w:rsidR="0014037D" w:rsidRPr="0014037D" w:rsidTr="004F5727">
        <w:trPr>
          <w:trHeight w:val="1440"/>
        </w:trPr>
        <w:tc>
          <w:tcPr>
            <w:tcW w:w="1200" w:type="dxa"/>
            <w:tcBorders>
              <w:top w:val="nil"/>
              <w:left w:val="single" w:sz="8" w:space="0" w:color="BFBFBF"/>
              <w:bottom w:val="single" w:sz="8" w:space="0" w:color="BFBFBF"/>
              <w:right w:val="single" w:sz="8" w:space="0" w:color="BFBFBF"/>
            </w:tcBorders>
            <w:shd w:val="clear" w:color="auto" w:fill="FFFFFF"/>
            <w:tcMar>
              <w:top w:w="15" w:type="dxa"/>
              <w:left w:w="15" w:type="dxa"/>
              <w:bottom w:w="0" w:type="dxa"/>
              <w:right w:w="15" w:type="dxa"/>
            </w:tcMar>
            <w:vAlign w:val="center"/>
            <w:hideMark/>
          </w:tcPr>
          <w:p w:rsidR="0014037D" w:rsidRPr="0014037D" w:rsidRDefault="0014037D" w:rsidP="0014037D">
            <w:pPr>
              <w:spacing w:after="0" w:line="240" w:lineRule="auto"/>
              <w:jc w:val="center"/>
              <w:rPr>
                <w:rFonts w:ascii="Helvetica" w:eastAsia="Times New Roman" w:hAnsi="Helvetica" w:cs="Helvetica"/>
                <w:b/>
                <w:bCs/>
                <w:color w:val="000000"/>
                <w:sz w:val="24"/>
                <w:szCs w:val="24"/>
                <w:lang w:eastAsia="es-CO"/>
              </w:rPr>
            </w:pPr>
            <w:r w:rsidRPr="0014037D">
              <w:rPr>
                <w:rFonts w:ascii="Arial" w:eastAsia="Times New Roman" w:hAnsi="Arial" w:cs="Arial"/>
                <w:b/>
                <w:bCs/>
                <w:color w:val="000000"/>
                <w:sz w:val="24"/>
                <w:szCs w:val="24"/>
                <w:lang w:eastAsia="es-CO"/>
              </w:rPr>
              <w:t>3 (2022)</w:t>
            </w:r>
          </w:p>
        </w:tc>
        <w:tc>
          <w:tcPr>
            <w:tcW w:w="9138" w:type="dxa"/>
            <w:tcBorders>
              <w:top w:val="nil"/>
              <w:left w:val="nil"/>
              <w:bottom w:val="single" w:sz="8" w:space="0" w:color="BFBFBF"/>
              <w:right w:val="single" w:sz="8" w:space="0" w:color="BFBFBF"/>
            </w:tcBorders>
            <w:shd w:val="clear" w:color="auto" w:fill="FFFFFF"/>
            <w:tcMar>
              <w:top w:w="15" w:type="dxa"/>
              <w:left w:w="15" w:type="dxa"/>
              <w:bottom w:w="0" w:type="dxa"/>
              <w:right w:w="15" w:type="dxa"/>
            </w:tcMar>
            <w:vAlign w:val="center"/>
            <w:hideMark/>
          </w:tcPr>
          <w:p w:rsidR="0014037D" w:rsidRPr="0014037D" w:rsidRDefault="0014037D" w:rsidP="0014037D">
            <w:pPr>
              <w:spacing w:line="209" w:lineRule="atLeast"/>
              <w:jc w:val="both"/>
              <w:rPr>
                <w:rFonts w:ascii="Times New Roman" w:eastAsia="Times New Roman" w:hAnsi="Times New Roman" w:cs="Times New Roman"/>
                <w:color w:val="000000"/>
                <w:sz w:val="24"/>
                <w:szCs w:val="24"/>
                <w:lang w:eastAsia="es-CO"/>
              </w:rPr>
            </w:pPr>
            <w:r w:rsidRPr="0014037D">
              <w:rPr>
                <w:rFonts w:ascii="Arial" w:eastAsia="Times New Roman" w:hAnsi="Arial" w:cs="Arial"/>
                <w:color w:val="000000"/>
                <w:sz w:val="24"/>
                <w:szCs w:val="24"/>
                <w:lang w:eastAsia="es-CO"/>
              </w:rPr>
              <w:t>El indicador de eficiencia acumulado de Planta, de la Central de Termopaipa, con corte a marzo de 2022, </w:t>
            </w:r>
            <w:r w:rsidR="004F5727" w:rsidRPr="0014037D">
              <w:rPr>
                <w:rFonts w:ascii="Arial" w:eastAsia="Times New Roman" w:hAnsi="Arial" w:cs="Arial"/>
                <w:color w:val="000000"/>
                <w:sz w:val="24"/>
                <w:szCs w:val="24"/>
                <w:lang w:eastAsia="es-CO"/>
              </w:rPr>
              <w:t>fue</w:t>
            </w:r>
            <w:r w:rsidRPr="0014037D">
              <w:rPr>
                <w:rFonts w:ascii="Arial" w:eastAsia="Times New Roman" w:hAnsi="Arial" w:cs="Arial"/>
                <w:color w:val="000000"/>
                <w:sz w:val="24"/>
                <w:szCs w:val="24"/>
                <w:lang w:eastAsia="es-CO"/>
              </w:rPr>
              <w:t> de 29,92%. Se evidencia cumplimiento de la meta establecida para la vigencia 2022 ≥ 29,65%. Se realizó análisis, seguimiento y verificación de condiciones operativas y actividades de control operacional, de las principales variables que impactan la eficiencia del proceso de generación, con el fin de mejorar el desempeño energético de la Planta de Termopaipa. Durante el mes de marzo, las Unidades Generadoras estuvieron la mayor parte, fuera de servicio por despacho, en reserva ante el CND.</w:t>
            </w:r>
          </w:p>
        </w:tc>
        <w:tc>
          <w:tcPr>
            <w:tcW w:w="1282" w:type="dxa"/>
            <w:tcBorders>
              <w:top w:val="nil"/>
              <w:left w:val="nil"/>
              <w:bottom w:val="single" w:sz="8" w:space="0" w:color="BFBFBF"/>
              <w:right w:val="single" w:sz="8" w:space="0" w:color="BFBFBF"/>
            </w:tcBorders>
            <w:shd w:val="clear" w:color="auto" w:fill="FFFFFF"/>
            <w:tcMar>
              <w:top w:w="15" w:type="dxa"/>
              <w:left w:w="15" w:type="dxa"/>
              <w:bottom w:w="0" w:type="dxa"/>
              <w:right w:w="15" w:type="dxa"/>
            </w:tcMar>
            <w:vAlign w:val="center"/>
            <w:hideMark/>
          </w:tcPr>
          <w:p w:rsidR="0014037D" w:rsidRPr="0014037D" w:rsidRDefault="0014037D" w:rsidP="0014037D">
            <w:pPr>
              <w:spacing w:after="0" w:line="240" w:lineRule="auto"/>
              <w:jc w:val="center"/>
              <w:rPr>
                <w:rFonts w:ascii="Helvetica" w:eastAsia="Times New Roman" w:hAnsi="Helvetica" w:cs="Helvetica"/>
                <w:color w:val="000000"/>
                <w:sz w:val="24"/>
                <w:szCs w:val="24"/>
                <w:lang w:eastAsia="es-CO"/>
              </w:rPr>
            </w:pPr>
            <w:r w:rsidRPr="0014037D">
              <w:rPr>
                <w:rFonts w:ascii="Arial" w:eastAsia="Times New Roman" w:hAnsi="Arial" w:cs="Arial"/>
                <w:color w:val="000000"/>
                <w:sz w:val="24"/>
                <w:szCs w:val="24"/>
                <w:lang w:eastAsia="es-CO"/>
              </w:rPr>
              <w:t>29,92%</w:t>
            </w:r>
          </w:p>
        </w:tc>
      </w:tr>
    </w:tbl>
    <w:p w:rsidR="0014037D" w:rsidRDefault="0014037D" w:rsidP="004902FC">
      <w:pPr>
        <w:rPr>
          <w:rFonts w:ascii="Arial" w:hAnsi="Arial" w:cs="Arial"/>
          <w:color w:val="000000"/>
          <w:sz w:val="28"/>
          <w:szCs w:val="28"/>
          <w:shd w:val="clear" w:color="auto" w:fill="FFFFFF"/>
        </w:rPr>
      </w:pPr>
    </w:p>
    <w:p w:rsidR="0014037D" w:rsidRDefault="0014037D" w:rsidP="004902FC">
      <w:bookmarkStart w:id="0" w:name="_GoBack"/>
      <w:bookmarkEnd w:id="0"/>
    </w:p>
    <w:sectPr w:rsidR="0014037D" w:rsidSect="00A943D4">
      <w:pgSz w:w="15840" w:h="12240" w:orient="landscape"/>
      <w:pgMar w:top="1701" w:right="1417" w:bottom="170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1D6DB9"/>
    <w:multiLevelType w:val="hybridMultilevel"/>
    <w:tmpl w:val="4C0A799A"/>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2FC"/>
    <w:rsid w:val="0014037D"/>
    <w:rsid w:val="004902FC"/>
    <w:rsid w:val="004F5727"/>
    <w:rsid w:val="00A175A4"/>
    <w:rsid w:val="00A943D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F1201A-9D9C-496B-8BD0-9F7F235BB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902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9943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91</TotalTime>
  <Pages>1</Pages>
  <Words>104</Words>
  <Characters>572</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Ines Alcazar Espitia</dc:creator>
  <cp:keywords/>
  <dc:description/>
  <cp:lastModifiedBy>Martha Ines Alcazar Espitia</cp:lastModifiedBy>
  <cp:revision>4</cp:revision>
  <dcterms:created xsi:type="dcterms:W3CDTF">2022-04-07T14:52:00Z</dcterms:created>
  <dcterms:modified xsi:type="dcterms:W3CDTF">2022-04-07T16:24:00Z</dcterms:modified>
</cp:coreProperties>
</file>